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BC0AB1">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796509" w:rsidRPr="00796509">
        <w:rPr>
          <w:b/>
          <w:sz w:val="28"/>
          <w:szCs w:val="28"/>
        </w:rPr>
        <w:t>Expert support to Heat and Imaging Instrumentation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796509">
        <w:rPr>
          <w:b/>
          <w:sz w:val="28"/>
          <w:szCs w:val="28"/>
        </w:rPr>
        <w:t>2</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796509">
        <w:rPr>
          <w:b/>
          <w:sz w:val="28"/>
          <w:szCs w:val="28"/>
        </w:rPr>
        <w:t>3127</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E710A5" w:rsidTr="004E3FF2">
        <w:trPr>
          <w:trHeight w:val="54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FC4879">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C0AB1">
              <w:rPr>
                <w:szCs w:val="24"/>
              </w:rPr>
              <w:t>7</w:t>
            </w:r>
            <w:r w:rsidR="002E6EA5">
              <w:rPr>
                <w:szCs w:val="24"/>
              </w:rPr>
              <w:t xml:space="preserve"> in </w:t>
            </w:r>
            <w:r w:rsidR="008C4346">
              <w:rPr>
                <w:szCs w:val="24"/>
              </w:rPr>
              <w:t>Tech</w:t>
            </w:r>
            <w:r w:rsidR="00BB1BA4">
              <w:rPr>
                <w:szCs w:val="24"/>
              </w:rPr>
              <w:t>nical Specifications ref ITER_D_</w:t>
            </w:r>
            <w:bookmarkStart w:id="0" w:name="_GoBack"/>
            <w:bookmarkEnd w:id="0"/>
            <w:r w:rsidR="00796509" w:rsidRPr="00796509">
              <w:rPr>
                <w:szCs w:val="24"/>
              </w:rPr>
              <w:t>74QUVP</w:t>
            </w:r>
            <w:r w:rsidR="00DF6E31">
              <w:rPr>
                <w:szCs w:val="24"/>
              </w:rPr>
              <w:t xml:space="preserve"> </w:t>
            </w:r>
            <w:r w:rsidR="008C4346">
              <w:rPr>
                <w:szCs w:val="24"/>
              </w:rPr>
              <w:t>v1.</w:t>
            </w:r>
            <w:r w:rsidR="00796509">
              <w:rPr>
                <w:szCs w:val="24"/>
              </w:rPr>
              <w:t>0</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796509">
        <w:trPr>
          <w:trHeight w:val="698"/>
        </w:trPr>
        <w:tc>
          <w:tcPr>
            <w:tcW w:w="880" w:type="dxa"/>
            <w:shd w:val="clear" w:color="auto" w:fill="auto"/>
            <w:vAlign w:val="center"/>
          </w:tcPr>
          <w:p w:rsidR="008379CA" w:rsidRPr="00800995" w:rsidRDefault="00F160C2" w:rsidP="00E52A4D">
            <w:pPr>
              <w:jc w:val="center"/>
              <w:rPr>
                <w:szCs w:val="24"/>
              </w:rPr>
            </w:pPr>
            <w:r w:rsidRPr="00800995">
              <w:rPr>
                <w:szCs w:val="24"/>
              </w:rPr>
              <w:t>D1</w:t>
            </w:r>
          </w:p>
        </w:tc>
        <w:tc>
          <w:tcPr>
            <w:tcW w:w="5103" w:type="dxa"/>
            <w:shd w:val="clear" w:color="auto" w:fill="auto"/>
            <w:vAlign w:val="center"/>
          </w:tcPr>
          <w:p w:rsidR="0019073F" w:rsidRPr="005045A1" w:rsidRDefault="00796509" w:rsidP="00796509">
            <w:pPr>
              <w:rPr>
                <w:szCs w:val="24"/>
              </w:rPr>
            </w:pPr>
            <w:r w:rsidRPr="00796509">
              <w:rPr>
                <w:szCs w:val="24"/>
              </w:rPr>
              <w:t xml:space="preserve">Progress report #1 </w:t>
            </w:r>
          </w:p>
        </w:tc>
        <w:tc>
          <w:tcPr>
            <w:tcW w:w="1644" w:type="dxa"/>
            <w:shd w:val="clear" w:color="auto" w:fill="auto"/>
            <w:vAlign w:val="center"/>
          </w:tcPr>
          <w:p w:rsidR="008379CA" w:rsidRPr="00F160C2" w:rsidRDefault="00546C13" w:rsidP="00796509">
            <w:pPr>
              <w:keepNext/>
              <w:jc w:val="center"/>
              <w:rPr>
                <w:szCs w:val="24"/>
              </w:rPr>
            </w:pPr>
            <w:r>
              <w:rPr>
                <w:szCs w:val="24"/>
              </w:rPr>
              <w:t xml:space="preserve">T0* + </w:t>
            </w:r>
            <w:r w:rsidR="00796509">
              <w:rPr>
                <w:szCs w:val="24"/>
              </w:rPr>
              <w:t xml:space="preserve">4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796509">
        <w:trPr>
          <w:trHeight w:val="739"/>
        </w:trPr>
        <w:tc>
          <w:tcPr>
            <w:tcW w:w="880"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5103" w:type="dxa"/>
            <w:shd w:val="clear" w:color="auto" w:fill="auto"/>
            <w:vAlign w:val="center"/>
          </w:tcPr>
          <w:p w:rsidR="003D772F" w:rsidRPr="005045A1" w:rsidRDefault="00796509" w:rsidP="00217FA3">
            <w:pPr>
              <w:spacing w:line="276" w:lineRule="auto"/>
              <w:rPr>
                <w:szCs w:val="24"/>
              </w:rPr>
            </w:pPr>
            <w:r>
              <w:rPr>
                <w:szCs w:val="24"/>
              </w:rPr>
              <w:t>Progress report #2</w:t>
            </w:r>
          </w:p>
        </w:tc>
        <w:tc>
          <w:tcPr>
            <w:tcW w:w="1644" w:type="dxa"/>
            <w:shd w:val="clear" w:color="auto" w:fill="auto"/>
            <w:vAlign w:val="center"/>
          </w:tcPr>
          <w:p w:rsidR="00B178B1" w:rsidRPr="00E710A5" w:rsidRDefault="00546C13" w:rsidP="00796509">
            <w:pPr>
              <w:keepNext/>
              <w:jc w:val="center"/>
              <w:rPr>
                <w:szCs w:val="24"/>
              </w:rPr>
            </w:pPr>
            <w:r>
              <w:rPr>
                <w:szCs w:val="24"/>
              </w:rPr>
              <w:t>T0</w:t>
            </w:r>
            <w:r w:rsidR="005D4075">
              <w:rPr>
                <w:szCs w:val="24"/>
              </w:rPr>
              <w:t xml:space="preserve"> </w:t>
            </w:r>
            <w:r>
              <w:rPr>
                <w:szCs w:val="24"/>
              </w:rPr>
              <w:t xml:space="preserve">+ </w:t>
            </w:r>
            <w:r w:rsidR="00796509">
              <w:rPr>
                <w:szCs w:val="24"/>
              </w:rPr>
              <w:t>8</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796509">
        <w:trPr>
          <w:trHeight w:val="663"/>
        </w:trPr>
        <w:tc>
          <w:tcPr>
            <w:tcW w:w="880"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5103" w:type="dxa"/>
            <w:shd w:val="clear" w:color="auto" w:fill="auto"/>
            <w:vAlign w:val="center"/>
          </w:tcPr>
          <w:p w:rsidR="00546C13" w:rsidRPr="005045A1" w:rsidRDefault="00796509" w:rsidP="00217FA3">
            <w:pPr>
              <w:spacing w:line="276" w:lineRule="auto"/>
              <w:rPr>
                <w:szCs w:val="24"/>
              </w:rPr>
            </w:pPr>
            <w:r>
              <w:rPr>
                <w:szCs w:val="24"/>
              </w:rPr>
              <w:t>Progress report #3</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796509">
              <w:rPr>
                <w:szCs w:val="24"/>
              </w:rPr>
              <w:t>12</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p>
        </w:tc>
        <w:tc>
          <w:tcPr>
            <w:tcW w:w="5103" w:type="dxa"/>
            <w:shd w:val="clear" w:color="auto" w:fill="auto"/>
            <w:vAlign w:val="center"/>
          </w:tcPr>
          <w:p w:rsidR="004E3FF2" w:rsidRPr="00546C13" w:rsidRDefault="004E3FF2" w:rsidP="004E3FF2">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4E3FF2" w:rsidRDefault="004E3FF2" w:rsidP="004E3FF2">
            <w:pPr>
              <w:rPr>
                <w:szCs w:val="24"/>
              </w:rPr>
            </w:pPr>
          </w:p>
        </w:tc>
        <w:tc>
          <w:tcPr>
            <w:tcW w:w="1710" w:type="dxa"/>
            <w:shd w:val="clear" w:color="auto" w:fill="auto"/>
            <w:vAlign w:val="center"/>
          </w:tcPr>
          <w:p w:rsidR="004E3FF2" w:rsidRPr="003309D6" w:rsidRDefault="004E3FF2" w:rsidP="004E3FF2">
            <w:pPr>
              <w:jc w:val="center"/>
              <w:rPr>
                <w:b/>
                <w:i/>
                <w:szCs w:val="24"/>
                <w:highlight w:val="yellow"/>
              </w:rPr>
            </w:pPr>
            <w:r w:rsidRPr="003309D6">
              <w:rPr>
                <w:b/>
                <w:i/>
                <w:szCs w:val="24"/>
                <w:highlight w:val="yellow"/>
              </w:rPr>
              <w:t>to be added</w:t>
            </w:r>
          </w:p>
        </w:tc>
      </w:tr>
    </w:tbl>
    <w:p w:rsidR="00DF6E31" w:rsidRPr="00796509" w:rsidRDefault="00546C13" w:rsidP="00796509">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D161FF" w:rsidRDefault="00D161FF">
      <w:pPr>
        <w:jc w:val="lef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796509">
        <w:trPr>
          <w:trHeight w:val="511"/>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796509">
            <w:pPr>
              <w:keepNext/>
              <w:jc w:val="center"/>
              <w:rPr>
                <w:szCs w:val="24"/>
              </w:rPr>
            </w:pPr>
            <w:r>
              <w:rPr>
                <w:szCs w:val="24"/>
              </w:rPr>
              <w:t>T0</w:t>
            </w:r>
            <w:r w:rsidR="0066558D">
              <w:rPr>
                <w:szCs w:val="24"/>
              </w:rPr>
              <w:t>*</w:t>
            </w:r>
            <w:r w:rsidR="005A583E">
              <w:rPr>
                <w:szCs w:val="24"/>
              </w:rPr>
              <w:t xml:space="preserve">+ </w:t>
            </w:r>
            <w:r w:rsidR="00796509">
              <w:rPr>
                <w:szCs w:val="24"/>
              </w:rPr>
              <w:t>5</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96509">
        <w:trPr>
          <w:trHeight w:val="37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796509">
            <w:pPr>
              <w:keepNext/>
              <w:jc w:val="center"/>
              <w:rPr>
                <w:szCs w:val="24"/>
              </w:rPr>
            </w:pPr>
            <w:r>
              <w:rPr>
                <w:szCs w:val="24"/>
              </w:rPr>
              <w:t xml:space="preserve">T0+  </w:t>
            </w:r>
            <w:r w:rsidR="00796509">
              <w:rPr>
                <w:szCs w:val="24"/>
              </w:rPr>
              <w:t>9</w:t>
            </w:r>
            <w:r>
              <w:rPr>
                <w:szCs w:val="24"/>
              </w:rPr>
              <w:t xml:space="preserve"> months</w:t>
            </w:r>
          </w:p>
        </w:tc>
        <w:tc>
          <w:tcPr>
            <w:tcW w:w="1980" w:type="dxa"/>
            <w:shd w:val="clear" w:color="auto" w:fill="auto"/>
            <w:vAlign w:val="center"/>
          </w:tcPr>
          <w:p w:rsidR="00D37437" w:rsidRDefault="00D37437" w:rsidP="00D37437">
            <w:pPr>
              <w:jc w:val="right"/>
            </w:pPr>
            <w:r w:rsidRPr="00D83B67">
              <w:rPr>
                <w:i/>
                <w:szCs w:val="24"/>
                <w:highlight w:val="yellow"/>
              </w:rPr>
              <w:t>to be added</w:t>
            </w:r>
          </w:p>
        </w:tc>
      </w:tr>
      <w:tr w:rsidR="00D37437" w:rsidRPr="00E710A5" w:rsidTr="00796509">
        <w:trPr>
          <w:trHeight w:val="410"/>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796509">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796509">
            <w:pPr>
              <w:keepNext/>
              <w:jc w:val="center"/>
              <w:rPr>
                <w:szCs w:val="24"/>
              </w:rPr>
            </w:pPr>
            <w:r>
              <w:rPr>
                <w:szCs w:val="24"/>
              </w:rPr>
              <w:t xml:space="preserve">T0+  </w:t>
            </w:r>
            <w:r w:rsidR="00DF6E31">
              <w:rPr>
                <w:szCs w:val="24"/>
              </w:rPr>
              <w:t>1</w:t>
            </w:r>
            <w:r w:rsidR="00796509">
              <w:rPr>
                <w:szCs w:val="24"/>
              </w:rPr>
              <w:t>3</w:t>
            </w:r>
            <w:r>
              <w:rPr>
                <w:szCs w:val="24"/>
              </w:rPr>
              <w:t xml:space="preserve"> months</w:t>
            </w:r>
          </w:p>
        </w:tc>
        <w:tc>
          <w:tcPr>
            <w:tcW w:w="1980" w:type="dxa"/>
            <w:shd w:val="clear" w:color="auto" w:fill="auto"/>
            <w:vAlign w:val="center"/>
          </w:tcPr>
          <w:p w:rsidR="00D37437" w:rsidRDefault="00D37437" w:rsidP="00D37437">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lastRenderedPageBreak/>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96509" w:rsidRPr="00E710A5" w:rsidRDefault="00796509" w:rsidP="00BF05E4">
      <w:pPr>
        <w:keepNext/>
        <w:rPr>
          <w:szCs w:val="24"/>
        </w:rPr>
      </w:pPr>
    </w:p>
    <w:sectPr w:rsidR="00796509"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135C7">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135C7">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135C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135C7">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796509">
      <w:rPr>
        <w:sz w:val="22"/>
        <w:szCs w:val="22"/>
      </w:rPr>
      <w:t>2</w:t>
    </w:r>
    <w:r>
      <w:rPr>
        <w:sz w:val="22"/>
        <w:szCs w:val="22"/>
      </w:rPr>
      <w:t>/CFE/1002</w:t>
    </w:r>
    <w:r w:rsidR="00796509">
      <w:rPr>
        <w:sz w:val="22"/>
        <w:szCs w:val="22"/>
      </w:rPr>
      <w:t>3127</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011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FA3"/>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509"/>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5C7"/>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0AB1"/>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3C25"/>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4879"/>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colormru v:ext="edit" colors="#ffc"/>
    </o:shapedefaults>
    <o:shapelayout v:ext="edit">
      <o:idmap v:ext="edit" data="1"/>
    </o:shapelayout>
  </w:shapeDefaults>
  <w:decimalSymbol w:val="."/>
  <w:listSeparator w:val=","/>
  <w14:docId w14:val="44794D06"/>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E6FCF-A5DA-4368-8BB1-F7DA8999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158</TotalTime>
  <Pages>2</Pages>
  <Words>282</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32</cp:revision>
  <cp:lastPrinted>2020-03-12T10:00:00Z</cp:lastPrinted>
  <dcterms:created xsi:type="dcterms:W3CDTF">2020-11-06T15:50:00Z</dcterms:created>
  <dcterms:modified xsi:type="dcterms:W3CDTF">2022-03-07T14:36:00Z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