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B259EB" w:rsidRPr="00B259EB">
        <w:rPr>
          <w:rFonts w:eastAsia="Calibri"/>
          <w:b/>
          <w:bCs/>
          <w:sz w:val="28"/>
          <w:szCs w:val="28"/>
          <w:lang w:eastAsia="ja-JP"/>
        </w:rPr>
        <w:t>Maintenance of port-based diagnostic systems with DMS</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B259EB">
        <w:rPr>
          <w:b/>
          <w:i/>
          <w:sz w:val="28"/>
          <w:szCs w:val="28"/>
        </w:rPr>
        <w:t>10021344</w:t>
      </w:r>
      <w:r w:rsidRPr="00702B6B">
        <w:rPr>
          <w:b/>
          <w:sz w:val="28"/>
          <w:szCs w:val="28"/>
        </w:rPr>
        <w:t>/</w:t>
      </w:r>
      <w:r w:rsidR="007D00B7">
        <w:rPr>
          <w:b/>
          <w:i/>
          <w:sz w:val="28"/>
          <w:szCs w:val="28"/>
        </w:rPr>
        <w:t>INU</w:t>
      </w:r>
    </w:p>
    <w:p w:rsidR="004174F3" w:rsidRDefault="004174F3" w:rsidP="004174F3">
      <w:pPr>
        <w:keepNext/>
      </w:pPr>
    </w:p>
    <w:p w:rsidR="00B259EB" w:rsidRDefault="00B259EB"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953"/>
        <w:gridCol w:w="993"/>
        <w:gridCol w:w="1406"/>
      </w:tblGrid>
      <w:tr w:rsidR="008379CA" w:rsidRPr="00E710A5" w:rsidTr="00B259EB">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953"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993"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406"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259EB">
        <w:tc>
          <w:tcPr>
            <w:tcW w:w="738"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5953" w:type="dxa"/>
            <w:shd w:val="clear" w:color="auto" w:fill="auto"/>
          </w:tcPr>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Update or create maintenance documents for diagnostic port</w:t>
            </w:r>
            <w:r>
              <w:rPr>
                <w:rFonts w:eastAsia="Times"/>
                <w:szCs w:val="24"/>
                <w:lang w:eastAsia="en-GB"/>
              </w:rPr>
              <w:t xml:space="preserve"> </w:t>
            </w:r>
            <w:r w:rsidRPr="00B259EB">
              <w:rPr>
                <w:rFonts w:eastAsia="Times"/>
                <w:szCs w:val="24"/>
                <w:lang w:eastAsia="en-GB"/>
              </w:rPr>
              <w:t>based on latest maintenance schemes, port designs and</w:t>
            </w:r>
            <w:r>
              <w:rPr>
                <w:rFonts w:eastAsia="Times"/>
                <w:szCs w:val="24"/>
                <w:lang w:eastAsia="en-GB"/>
              </w:rPr>
              <w:t xml:space="preserve"> </w:t>
            </w:r>
            <w:r w:rsidRPr="00B259EB">
              <w:rPr>
                <w:rFonts w:eastAsia="Times"/>
                <w:szCs w:val="24"/>
                <w:lang w:eastAsia="en-GB"/>
              </w:rPr>
              <w:t>assumptions for the Equatorial Port #17 PDR closure.</w:t>
            </w:r>
            <w:r>
              <w:rPr>
                <w:rFonts w:eastAsia="Times"/>
                <w:szCs w:val="24"/>
                <w:lang w:eastAsia="en-GB"/>
              </w:rPr>
              <w:t xml:space="preserve"> </w:t>
            </w:r>
            <w:r w:rsidRPr="00B259EB">
              <w:rPr>
                <w:rFonts w:eastAsia="Times"/>
                <w:szCs w:val="24"/>
                <w:lang w:eastAsia="en-GB"/>
              </w:rPr>
              <w:t>Discuss with interface ROs (RH, maintenance, DMS design</w:t>
            </w:r>
            <w:r>
              <w:rPr>
                <w:rFonts w:eastAsia="Times"/>
                <w:szCs w:val="24"/>
                <w:lang w:eastAsia="en-GB"/>
              </w:rPr>
              <w:t xml:space="preserve"> </w:t>
            </w:r>
            <w:r w:rsidRPr="00B259EB">
              <w:rPr>
                <w:rFonts w:eastAsia="Times"/>
                <w:szCs w:val="24"/>
                <w:lang w:eastAsia="en-GB"/>
              </w:rPr>
              <w:t xml:space="preserve">team, safety, diagnostic experts, </w:t>
            </w:r>
            <w:proofErr w:type="spellStart"/>
            <w:r w:rsidRPr="00B259EB">
              <w:rPr>
                <w:rFonts w:eastAsia="Times"/>
                <w:szCs w:val="24"/>
                <w:lang w:eastAsia="en-GB"/>
              </w:rPr>
              <w:t>neutronics</w:t>
            </w:r>
            <w:proofErr w:type="spellEnd"/>
            <w:r w:rsidRPr="00B259EB">
              <w:rPr>
                <w:rFonts w:eastAsia="Times"/>
                <w:szCs w:val="24"/>
                <w:lang w:eastAsia="en-GB"/>
              </w:rPr>
              <w:t xml:space="preserve"> expert) and update/</w:t>
            </w:r>
            <w:r>
              <w:rPr>
                <w:rFonts w:eastAsia="Times"/>
                <w:szCs w:val="24"/>
                <w:lang w:eastAsia="en-GB"/>
              </w:rPr>
              <w:t xml:space="preserve"> </w:t>
            </w:r>
            <w:r w:rsidRPr="00B259EB">
              <w:rPr>
                <w:rFonts w:eastAsia="Times"/>
                <w:szCs w:val="24"/>
                <w:lang w:eastAsia="en-GB"/>
              </w:rPr>
              <w:t>upload the related documents in the PLM/IDM for review and</w:t>
            </w:r>
            <w:r>
              <w:rPr>
                <w:rFonts w:eastAsia="Times"/>
                <w:szCs w:val="24"/>
                <w:lang w:eastAsia="en-GB"/>
              </w:rPr>
              <w:t xml:space="preserve"> </w:t>
            </w:r>
            <w:r w:rsidRPr="00B259EB">
              <w:rPr>
                <w:rFonts w:eastAsia="Times"/>
                <w:szCs w:val="24"/>
                <w:lang w:eastAsia="en-GB"/>
              </w:rPr>
              <w:t>approval.</w:t>
            </w:r>
          </w:p>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The reviewers of the report need to be coherent with the</w:t>
            </w:r>
          </w:p>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ITER_D_2EXFXU - Sign-Off Authority for Project</w:t>
            </w:r>
          </w:p>
          <w:p w:rsidR="00B94258" w:rsidRPr="006D01A2" w:rsidRDefault="00B259EB" w:rsidP="00B259EB">
            <w:pPr>
              <w:autoSpaceDE w:val="0"/>
              <w:autoSpaceDN w:val="0"/>
              <w:adjustRightInd w:val="0"/>
            </w:pPr>
            <w:r w:rsidRPr="00B259EB">
              <w:rPr>
                <w:rFonts w:eastAsia="Times"/>
                <w:szCs w:val="24"/>
                <w:lang w:eastAsia="en-GB"/>
              </w:rPr>
              <w:t>Documents.</w:t>
            </w:r>
          </w:p>
        </w:tc>
        <w:tc>
          <w:tcPr>
            <w:tcW w:w="993"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6D01A2">
              <w:t>3</w:t>
            </w:r>
            <w:r w:rsidR="00B9425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259EB">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953" w:type="dxa"/>
            <w:shd w:val="clear" w:color="auto" w:fill="auto"/>
          </w:tcPr>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Review maintenance assessment documents for diagnostic</w:t>
            </w:r>
            <w:r>
              <w:rPr>
                <w:rFonts w:eastAsia="Times"/>
                <w:szCs w:val="24"/>
                <w:lang w:eastAsia="en-GB"/>
              </w:rPr>
              <w:t xml:space="preserve"> </w:t>
            </w:r>
            <w:r w:rsidRPr="00B259EB">
              <w:rPr>
                <w:rFonts w:eastAsia="Times"/>
                <w:szCs w:val="24"/>
                <w:lang w:eastAsia="en-GB"/>
              </w:rPr>
              <w:t>upper ports based on latest maintenance schemes and modular</w:t>
            </w:r>
            <w:r>
              <w:rPr>
                <w:rFonts w:eastAsia="Times"/>
                <w:szCs w:val="24"/>
                <w:lang w:eastAsia="en-GB"/>
              </w:rPr>
              <w:t xml:space="preserve"> </w:t>
            </w:r>
            <w:r w:rsidRPr="00B259EB">
              <w:rPr>
                <w:rFonts w:eastAsia="Times"/>
                <w:szCs w:val="24"/>
                <w:lang w:eastAsia="en-GB"/>
              </w:rPr>
              <w:t>port designs, in preparation for FDRs of Upper modular ports</w:t>
            </w:r>
            <w:r>
              <w:rPr>
                <w:rFonts w:eastAsia="Times"/>
                <w:szCs w:val="24"/>
                <w:lang w:eastAsia="en-GB"/>
              </w:rPr>
              <w:t xml:space="preserve"> </w:t>
            </w:r>
            <w:r w:rsidRPr="00B259EB">
              <w:rPr>
                <w:rFonts w:eastAsia="Times"/>
                <w:szCs w:val="24"/>
                <w:lang w:eastAsia="en-GB"/>
              </w:rPr>
              <w:t>with DMS.</w:t>
            </w:r>
          </w:p>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Discuss with interface ROs (RH, maintenance, DMS design</w:t>
            </w:r>
            <w:r>
              <w:rPr>
                <w:rFonts w:eastAsia="Times"/>
                <w:szCs w:val="24"/>
                <w:lang w:eastAsia="en-GB"/>
              </w:rPr>
              <w:t xml:space="preserve"> </w:t>
            </w:r>
            <w:r w:rsidRPr="00B259EB">
              <w:rPr>
                <w:rFonts w:eastAsia="Times"/>
                <w:szCs w:val="24"/>
                <w:lang w:eastAsia="en-GB"/>
              </w:rPr>
              <w:t xml:space="preserve">developers, safety, diagnostic experts, </w:t>
            </w:r>
            <w:proofErr w:type="spellStart"/>
            <w:r w:rsidRPr="00B259EB">
              <w:rPr>
                <w:rFonts w:eastAsia="Times"/>
                <w:szCs w:val="24"/>
                <w:lang w:eastAsia="en-GB"/>
              </w:rPr>
              <w:t>neutronics</w:t>
            </w:r>
            <w:proofErr w:type="spellEnd"/>
            <w:r w:rsidRPr="00B259EB">
              <w:rPr>
                <w:rFonts w:eastAsia="Times"/>
                <w:szCs w:val="24"/>
                <w:lang w:eastAsia="en-GB"/>
              </w:rPr>
              <w:t xml:space="preserve"> expert) and</w:t>
            </w:r>
            <w:r>
              <w:rPr>
                <w:rFonts w:eastAsia="Times"/>
                <w:szCs w:val="24"/>
                <w:lang w:eastAsia="en-GB"/>
              </w:rPr>
              <w:t xml:space="preserve"> </w:t>
            </w:r>
            <w:r w:rsidRPr="00B259EB">
              <w:rPr>
                <w:rFonts w:eastAsia="Times"/>
                <w:szCs w:val="24"/>
                <w:lang w:eastAsia="en-GB"/>
              </w:rPr>
              <w:t>update/ upload the related documents in the PLM/IDM for</w:t>
            </w:r>
            <w:r>
              <w:rPr>
                <w:rFonts w:eastAsia="Times"/>
                <w:szCs w:val="24"/>
                <w:lang w:eastAsia="en-GB"/>
              </w:rPr>
              <w:t xml:space="preserve"> </w:t>
            </w:r>
            <w:r w:rsidRPr="00B259EB">
              <w:rPr>
                <w:rFonts w:eastAsia="Times"/>
                <w:szCs w:val="24"/>
                <w:lang w:eastAsia="en-GB"/>
              </w:rPr>
              <w:t>review and approval.</w:t>
            </w:r>
          </w:p>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The reviewers of the report need to be coherent with the</w:t>
            </w:r>
          </w:p>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ITER_D_2EXFXU - Sign-Off Authority for Project</w:t>
            </w:r>
          </w:p>
          <w:p w:rsidR="00B94258" w:rsidRPr="006D01A2" w:rsidRDefault="00B259EB" w:rsidP="00B259EB">
            <w:pPr>
              <w:rPr>
                <w:szCs w:val="24"/>
              </w:rPr>
            </w:pPr>
            <w:r w:rsidRPr="00B259EB">
              <w:rPr>
                <w:rFonts w:eastAsia="Times"/>
                <w:szCs w:val="24"/>
                <w:lang w:eastAsia="en-GB"/>
              </w:rPr>
              <w:t>Documents.</w:t>
            </w:r>
          </w:p>
        </w:tc>
        <w:tc>
          <w:tcPr>
            <w:tcW w:w="993"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6D01A2">
              <w:t>9</w:t>
            </w:r>
            <w:r w:rsidR="00411BB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259EB">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953" w:type="dxa"/>
            <w:shd w:val="clear" w:color="auto" w:fill="auto"/>
          </w:tcPr>
          <w:p w:rsidR="00B259EB" w:rsidRPr="00B259EB" w:rsidRDefault="00B259EB" w:rsidP="00B259EB">
            <w:pPr>
              <w:autoSpaceDE w:val="0"/>
              <w:autoSpaceDN w:val="0"/>
              <w:adjustRightInd w:val="0"/>
              <w:rPr>
                <w:rFonts w:eastAsia="Times"/>
                <w:szCs w:val="24"/>
                <w:lang w:eastAsia="en-GB"/>
              </w:rPr>
            </w:pPr>
            <w:r w:rsidRPr="00B259EB">
              <w:rPr>
                <w:rFonts w:eastAsia="Times"/>
                <w:szCs w:val="24"/>
                <w:lang w:eastAsia="en-GB"/>
              </w:rPr>
              <w:t>Prepare maintenance assessment docs and supportive</w:t>
            </w:r>
          </w:p>
          <w:p w:rsidR="00B259EB" w:rsidRPr="00B259EB" w:rsidRDefault="00B259EB" w:rsidP="00B259EB">
            <w:pPr>
              <w:autoSpaceDE w:val="0"/>
              <w:autoSpaceDN w:val="0"/>
              <w:adjustRightInd w:val="0"/>
              <w:rPr>
                <w:rFonts w:eastAsia="Times"/>
                <w:szCs w:val="24"/>
                <w:lang w:eastAsia="en-GB"/>
              </w:rPr>
            </w:pPr>
            <w:proofErr w:type="gramStart"/>
            <w:r w:rsidRPr="00B259EB">
              <w:rPr>
                <w:rFonts w:eastAsia="Times"/>
                <w:szCs w:val="24"/>
                <w:lang w:eastAsia="en-GB"/>
              </w:rPr>
              <w:t>maintenance</w:t>
            </w:r>
            <w:proofErr w:type="gramEnd"/>
            <w:r w:rsidRPr="00B259EB">
              <w:rPr>
                <w:rFonts w:eastAsia="Times"/>
                <w:szCs w:val="24"/>
                <w:lang w:eastAsia="en-GB"/>
              </w:rPr>
              <w:t xml:space="preserve"> analysis for systems located in Equatorial Port #8</w:t>
            </w:r>
            <w:r>
              <w:rPr>
                <w:rFonts w:eastAsia="Times"/>
                <w:szCs w:val="24"/>
                <w:lang w:eastAsia="en-GB"/>
              </w:rPr>
              <w:t xml:space="preserve"> </w:t>
            </w:r>
            <w:r w:rsidRPr="00B259EB">
              <w:rPr>
                <w:rFonts w:eastAsia="Times"/>
                <w:szCs w:val="24"/>
                <w:lang w:eastAsia="en-GB"/>
              </w:rPr>
              <w:t>in preparation for EP#8 FDR. Discuss them with experts and</w:t>
            </w:r>
            <w:r>
              <w:rPr>
                <w:rFonts w:eastAsia="Times"/>
                <w:szCs w:val="24"/>
                <w:lang w:eastAsia="en-GB"/>
              </w:rPr>
              <w:t xml:space="preserve"> </w:t>
            </w:r>
            <w:r w:rsidRPr="00B259EB">
              <w:rPr>
                <w:rFonts w:eastAsia="Times"/>
                <w:szCs w:val="24"/>
                <w:lang w:eastAsia="en-GB"/>
              </w:rPr>
              <w:t>put in the IDM for review/ approval. Prepare the proper input</w:t>
            </w:r>
            <w:r>
              <w:rPr>
                <w:rFonts w:eastAsia="Times"/>
                <w:szCs w:val="24"/>
                <w:lang w:eastAsia="en-GB"/>
              </w:rPr>
              <w:t xml:space="preserve"> </w:t>
            </w:r>
            <w:r w:rsidRPr="00B259EB">
              <w:rPr>
                <w:rFonts w:eastAsia="Times"/>
                <w:szCs w:val="24"/>
                <w:lang w:eastAsia="en-GB"/>
              </w:rPr>
              <w:t>package for the FDR.</w:t>
            </w:r>
          </w:p>
          <w:p w:rsidR="005C4F5E" w:rsidRPr="006D01A2" w:rsidRDefault="00B259EB" w:rsidP="00B259EB">
            <w:pPr>
              <w:autoSpaceDE w:val="0"/>
              <w:autoSpaceDN w:val="0"/>
              <w:adjustRightInd w:val="0"/>
            </w:pPr>
            <w:r w:rsidRPr="00B259EB">
              <w:rPr>
                <w:rFonts w:eastAsia="Times"/>
                <w:szCs w:val="24"/>
                <w:lang w:eastAsia="en-GB"/>
              </w:rPr>
              <w:t>The reviewers of the input package need to be coherent with the</w:t>
            </w:r>
            <w:r>
              <w:rPr>
                <w:rFonts w:eastAsia="Times"/>
                <w:szCs w:val="24"/>
                <w:lang w:eastAsia="en-GB"/>
              </w:rPr>
              <w:t xml:space="preserve"> </w:t>
            </w:r>
            <w:r w:rsidRPr="00B259EB">
              <w:rPr>
                <w:rFonts w:eastAsia="Times"/>
                <w:szCs w:val="24"/>
                <w:lang w:eastAsia="en-GB"/>
              </w:rPr>
              <w:t>ITER_D_2EXFXU - Sign-Off Authority for Project</w:t>
            </w:r>
            <w:r>
              <w:rPr>
                <w:rFonts w:eastAsia="Times"/>
                <w:szCs w:val="24"/>
                <w:lang w:eastAsia="en-GB"/>
              </w:rPr>
              <w:t xml:space="preserve"> </w:t>
            </w:r>
            <w:r w:rsidRPr="00B259EB">
              <w:rPr>
                <w:rFonts w:eastAsia="Times"/>
                <w:szCs w:val="24"/>
                <w:lang w:eastAsia="en-GB"/>
              </w:rPr>
              <w:t>Documents.</w:t>
            </w:r>
          </w:p>
        </w:tc>
        <w:tc>
          <w:tcPr>
            <w:tcW w:w="993" w:type="dxa"/>
            <w:shd w:val="clear" w:color="auto" w:fill="auto"/>
            <w:vAlign w:val="center"/>
          </w:tcPr>
          <w:p w:rsidR="005C4F5E" w:rsidRPr="00411BB8" w:rsidRDefault="00411BB8" w:rsidP="005C4F5E">
            <w:pPr>
              <w:spacing w:before="120" w:after="100" w:line="276" w:lineRule="auto"/>
              <w:jc w:val="center"/>
            </w:pPr>
            <w:r w:rsidRPr="00411BB8">
              <w:t>T</w:t>
            </w:r>
            <w:r w:rsidR="006D01A2">
              <w:t xml:space="preserve">0 + 12 </w:t>
            </w:r>
            <w:r w:rsidR="005C4F5E"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8379CA" w:rsidRPr="00E710A5" w:rsidTr="00B259EB">
        <w:trPr>
          <w:trHeight w:val="38"/>
        </w:trPr>
        <w:tc>
          <w:tcPr>
            <w:tcW w:w="7684"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406" w:type="dxa"/>
            <w:shd w:val="clear" w:color="auto" w:fill="auto"/>
            <w:vAlign w:val="center"/>
          </w:tcPr>
          <w:p w:rsidR="008379CA" w:rsidRPr="00A9675C" w:rsidRDefault="008379CA" w:rsidP="00E52A4D">
            <w:pPr>
              <w:jc w:val="right"/>
              <w:rPr>
                <w:b/>
                <w:i/>
                <w:szCs w:val="24"/>
              </w:rPr>
            </w:pPr>
          </w:p>
        </w:tc>
      </w:tr>
    </w:tbl>
    <w:p w:rsidR="00B259EB" w:rsidRPr="00E710A5" w:rsidRDefault="00B259EB" w:rsidP="00B259EB">
      <w:pPr>
        <w:keepNext/>
        <w:rPr>
          <w:i/>
          <w:szCs w:val="24"/>
        </w:rPr>
      </w:pPr>
      <w:r>
        <w:rPr>
          <w:i/>
          <w:szCs w:val="24"/>
        </w:rPr>
        <w:lastRenderedPageBreak/>
        <w:t>T0</w:t>
      </w:r>
      <w:proofErr w:type="gramStart"/>
      <w:r>
        <w:rPr>
          <w:i/>
          <w:szCs w:val="24"/>
        </w:rPr>
        <w:t>=  kick</w:t>
      </w:r>
      <w:proofErr w:type="gramEnd"/>
      <w:r>
        <w:rPr>
          <w:i/>
          <w:szCs w:val="24"/>
        </w:rPr>
        <w:t xml:space="preserve"> off meeting date</w:t>
      </w:r>
    </w:p>
    <w:p w:rsidR="008A4DDD" w:rsidRDefault="008A4DDD" w:rsidP="006626C5">
      <w:pPr>
        <w:keepNext/>
        <w:rPr>
          <w:szCs w:val="24"/>
        </w:rPr>
      </w:pPr>
      <w:bookmarkStart w:id="0" w:name="_GoBack"/>
      <w:bookmarkEnd w:id="0"/>
    </w:p>
    <w:p w:rsidR="00B259EB" w:rsidRDefault="00B259EB" w:rsidP="006626C5">
      <w:pPr>
        <w:keepNext/>
        <w:rPr>
          <w:szCs w:val="24"/>
        </w:rPr>
      </w:pPr>
    </w:p>
    <w:p w:rsidR="00B259EB" w:rsidRDefault="00B259EB"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6D01A2">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6D01A2">
              <w:t>10</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6D01A2">
              <w:t>13</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B259EB">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B259EB">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259E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259EB">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B259EB">
      <w:rPr>
        <w:i/>
        <w:sz w:val="22"/>
        <w:szCs w:val="22"/>
      </w:rPr>
      <w:t>10021344</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1A2"/>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9EB"/>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66337C6B"/>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702D7-2872-4A9E-8B66-1D45E21FB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TotalTime>
  <Pages>2</Pages>
  <Words>431</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2021-06-24T07:49:00Z</dcterms:created>
  <dcterms:modified xsi:type="dcterms:W3CDTF">2021-06-24T07:49:00Z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