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5625DA">
        <w:rPr>
          <w:b/>
          <w:sz w:val="28"/>
          <w:szCs w:val="28"/>
          <w:u w:val="single"/>
        </w:rPr>
        <w:t xml:space="preserve"> a</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1220EA" w:rsidRDefault="008379CA" w:rsidP="001220EA">
      <w:pPr>
        <w:tabs>
          <w:tab w:val="left" w:pos="1980"/>
        </w:tabs>
        <w:suppressAutoHyphens/>
        <w:ind w:right="-427"/>
        <w:jc w:val="left"/>
        <w:rPr>
          <w:rFonts w:eastAsia="Calibri"/>
          <w:b/>
          <w:bCs/>
          <w:sz w:val="28"/>
          <w:szCs w:val="28"/>
          <w:lang w:eastAsia="ja-JP"/>
        </w:rPr>
      </w:pPr>
      <w:r w:rsidRPr="00E710A5">
        <w:rPr>
          <w:b/>
          <w:sz w:val="28"/>
          <w:szCs w:val="28"/>
        </w:rPr>
        <w:t>Contract:</w:t>
      </w:r>
      <w:r w:rsidR="001220EA">
        <w:rPr>
          <w:rFonts w:eastAsia="Calibri"/>
          <w:b/>
          <w:bCs/>
          <w:sz w:val="28"/>
          <w:szCs w:val="28"/>
          <w:lang w:eastAsia="ja-JP"/>
        </w:rPr>
        <w:t xml:space="preserve"> </w:t>
      </w:r>
      <w:r w:rsidR="00F160C2" w:rsidRPr="00F160C2">
        <w:rPr>
          <w:rFonts w:eastAsia="Calibri"/>
          <w:b/>
          <w:bCs/>
          <w:sz w:val="28"/>
          <w:szCs w:val="28"/>
          <w:lang w:eastAsia="ja-JP"/>
        </w:rPr>
        <w:t>Service</w:t>
      </w:r>
      <w:r w:rsidRPr="00E710A5">
        <w:rPr>
          <w:rFonts w:eastAsia="Calibri"/>
          <w:b/>
          <w:bCs/>
          <w:sz w:val="28"/>
          <w:szCs w:val="28"/>
          <w:lang w:eastAsia="ja-JP"/>
        </w:rPr>
        <w:t xml:space="preserve"> Contract </w:t>
      </w:r>
      <w:r w:rsidR="001220EA" w:rsidRPr="001220EA">
        <w:rPr>
          <w:rFonts w:eastAsia="Calibri"/>
          <w:b/>
          <w:bCs/>
          <w:sz w:val="28"/>
          <w:szCs w:val="28"/>
          <w:lang w:eastAsia="ja-JP"/>
        </w:rPr>
        <w:t>Mechanical design plan integration components</w:t>
      </w:r>
      <w:r w:rsidR="001220EA">
        <w:rPr>
          <w:rFonts w:eastAsia="Calibri"/>
          <w:b/>
          <w:bCs/>
          <w:sz w:val="28"/>
          <w:szCs w:val="28"/>
          <w:lang w:eastAsia="ja-JP"/>
        </w:rPr>
        <w:t xml:space="preserve"> </w:t>
      </w:r>
    </w:p>
    <w:p w:rsidR="001220EA" w:rsidRDefault="001220EA" w:rsidP="001220EA">
      <w:pPr>
        <w:tabs>
          <w:tab w:val="left" w:pos="1980"/>
        </w:tabs>
        <w:suppressAutoHyphens/>
        <w:ind w:right="-427"/>
        <w:jc w:val="left"/>
        <w:rPr>
          <w:rFonts w:eastAsia="Calibri"/>
          <w:b/>
          <w:bCs/>
          <w:sz w:val="28"/>
          <w:szCs w:val="28"/>
          <w:lang w:eastAsia="ja-JP"/>
        </w:rPr>
      </w:pPr>
    </w:p>
    <w:p w:rsidR="008379CA" w:rsidRPr="00F160C2" w:rsidRDefault="001220EA" w:rsidP="001220EA">
      <w:pPr>
        <w:tabs>
          <w:tab w:val="left" w:pos="1980"/>
        </w:tabs>
        <w:suppressAutoHyphens/>
        <w:ind w:right="-427"/>
        <w:jc w:val="left"/>
        <w:rPr>
          <w:b/>
          <w:sz w:val="28"/>
          <w:szCs w:val="28"/>
        </w:rPr>
      </w:pPr>
      <w:r>
        <w:rPr>
          <w:b/>
          <w:sz w:val="28"/>
          <w:szCs w:val="28"/>
        </w:rPr>
        <w:t xml:space="preserve">Reference: </w:t>
      </w:r>
      <w:r w:rsidR="008379CA" w:rsidRPr="00E710A5">
        <w:rPr>
          <w:b/>
          <w:sz w:val="28"/>
          <w:szCs w:val="28"/>
        </w:rPr>
        <w:t xml:space="preserve"> </w:t>
      </w:r>
      <w:r w:rsidR="008379CA" w:rsidRPr="00F160C2">
        <w:rPr>
          <w:b/>
          <w:sz w:val="28"/>
          <w:szCs w:val="28"/>
        </w:rPr>
        <w:t>IO/</w:t>
      </w:r>
      <w:r w:rsidR="00F160C2" w:rsidRPr="00F160C2">
        <w:rPr>
          <w:b/>
          <w:sz w:val="28"/>
          <w:szCs w:val="28"/>
        </w:rPr>
        <w:t>20</w:t>
      </w:r>
      <w:r w:rsidR="008379CA" w:rsidRPr="00F160C2">
        <w:rPr>
          <w:b/>
          <w:sz w:val="28"/>
          <w:szCs w:val="28"/>
        </w:rPr>
        <w:t>/</w:t>
      </w:r>
      <w:r w:rsidR="00F160C2" w:rsidRPr="00F160C2">
        <w:rPr>
          <w:b/>
          <w:sz w:val="28"/>
          <w:szCs w:val="28"/>
        </w:rPr>
        <w:t>CFE</w:t>
      </w:r>
      <w:r w:rsidR="008379CA" w:rsidRPr="00F160C2">
        <w:rPr>
          <w:b/>
          <w:sz w:val="28"/>
          <w:szCs w:val="28"/>
        </w:rPr>
        <w:t>/</w:t>
      </w:r>
      <w:r>
        <w:rPr>
          <w:b/>
          <w:sz w:val="28"/>
          <w:szCs w:val="28"/>
        </w:rPr>
        <w:t>10019222</w:t>
      </w:r>
      <w:r w:rsidR="008379CA" w:rsidRPr="00F160C2">
        <w:rPr>
          <w:b/>
          <w:sz w:val="28"/>
          <w:szCs w:val="28"/>
        </w:rPr>
        <w:t>/</w:t>
      </w:r>
      <w:r w:rsidR="00F160C2" w:rsidRPr="00F160C2">
        <w:rPr>
          <w:b/>
          <w:sz w:val="28"/>
          <w:szCs w:val="28"/>
        </w:rPr>
        <w:t>BBE</w:t>
      </w:r>
    </w:p>
    <w:p w:rsidR="004174F3" w:rsidRPr="00F160C2"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34"/>
        <w:gridCol w:w="2183"/>
        <w:gridCol w:w="1980"/>
      </w:tblGrid>
      <w:tr w:rsidR="008379CA" w:rsidRPr="00E710A5" w:rsidTr="00C508AD">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393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2183"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C508AD">
        <w:trPr>
          <w:trHeight w:val="998"/>
        </w:trPr>
        <w:tc>
          <w:tcPr>
            <w:tcW w:w="993" w:type="dxa"/>
            <w:shd w:val="clear" w:color="auto" w:fill="auto"/>
            <w:vAlign w:val="center"/>
          </w:tcPr>
          <w:p w:rsidR="008379CA" w:rsidRPr="00800995" w:rsidRDefault="00F160C2" w:rsidP="00E52A4D">
            <w:pPr>
              <w:jc w:val="center"/>
              <w:rPr>
                <w:szCs w:val="24"/>
              </w:rPr>
            </w:pPr>
            <w:r w:rsidRPr="00800995">
              <w:rPr>
                <w:szCs w:val="24"/>
              </w:rPr>
              <w:t>D1</w:t>
            </w:r>
          </w:p>
        </w:tc>
        <w:tc>
          <w:tcPr>
            <w:tcW w:w="3934" w:type="dxa"/>
            <w:shd w:val="clear" w:color="auto" w:fill="auto"/>
            <w:vAlign w:val="center"/>
          </w:tcPr>
          <w:p w:rsidR="008379CA" w:rsidRPr="00F160C2" w:rsidRDefault="001220EA" w:rsidP="008C5696">
            <w:pPr>
              <w:rPr>
                <w:szCs w:val="24"/>
              </w:rPr>
            </w:pPr>
            <w:r>
              <w:rPr>
                <w:rFonts w:ascii="TimesNewRomanPSMT" w:eastAsia="Times" w:hAnsi="TimesNewRomanPSMT" w:cs="TimesNewRomanPSMT"/>
                <w:szCs w:val="24"/>
                <w:lang w:eastAsia="en-GB"/>
              </w:rPr>
              <w:t>Integration of the diagnostic at the L2 level</w:t>
            </w:r>
          </w:p>
        </w:tc>
        <w:tc>
          <w:tcPr>
            <w:tcW w:w="2183" w:type="dxa"/>
            <w:shd w:val="clear" w:color="auto" w:fill="auto"/>
            <w:vAlign w:val="center"/>
          </w:tcPr>
          <w:p w:rsidR="008379CA" w:rsidRPr="00F160C2" w:rsidRDefault="008114BE" w:rsidP="008379CA">
            <w:pPr>
              <w:keepNext/>
              <w:jc w:val="center"/>
              <w:rPr>
                <w:szCs w:val="24"/>
              </w:rPr>
            </w:pPr>
            <w:r>
              <w:rPr>
                <w:szCs w:val="24"/>
              </w:rPr>
              <w:t>T0+ 3</w:t>
            </w:r>
            <w:r w:rsidR="00F160C2" w:rsidRPr="00F160C2">
              <w:rPr>
                <w:szCs w:val="24"/>
              </w:rPr>
              <w:t xml:space="preserve"> months</w:t>
            </w:r>
          </w:p>
        </w:tc>
        <w:tc>
          <w:tcPr>
            <w:tcW w:w="1980" w:type="dxa"/>
            <w:shd w:val="clear" w:color="auto" w:fill="auto"/>
            <w:vAlign w:val="center"/>
          </w:tcPr>
          <w:p w:rsidR="008379CA" w:rsidRPr="00E710A5" w:rsidRDefault="008379CA" w:rsidP="00E52A4D">
            <w:pPr>
              <w:jc w:val="right"/>
              <w:rPr>
                <w:i/>
                <w:szCs w:val="24"/>
                <w:highlight w:val="yellow"/>
              </w:rPr>
            </w:pPr>
            <w:r w:rsidRPr="00E710A5">
              <w:rPr>
                <w:i/>
                <w:szCs w:val="24"/>
                <w:highlight w:val="yellow"/>
              </w:rPr>
              <w:t>to be added</w:t>
            </w:r>
          </w:p>
        </w:tc>
      </w:tr>
      <w:tr w:rsidR="008379CA" w:rsidRPr="00E710A5" w:rsidTr="00C508AD">
        <w:trPr>
          <w:trHeight w:val="1070"/>
        </w:trPr>
        <w:tc>
          <w:tcPr>
            <w:tcW w:w="993" w:type="dxa"/>
            <w:shd w:val="clear" w:color="auto" w:fill="auto"/>
            <w:vAlign w:val="center"/>
          </w:tcPr>
          <w:p w:rsidR="008379CA" w:rsidRPr="00E710A5" w:rsidRDefault="00F160C2" w:rsidP="00E52A4D">
            <w:pPr>
              <w:jc w:val="center"/>
              <w:rPr>
                <w:szCs w:val="24"/>
              </w:rPr>
            </w:pPr>
            <w:r>
              <w:rPr>
                <w:szCs w:val="24"/>
              </w:rPr>
              <w:t>D2</w:t>
            </w:r>
          </w:p>
        </w:tc>
        <w:tc>
          <w:tcPr>
            <w:tcW w:w="3934" w:type="dxa"/>
            <w:shd w:val="clear" w:color="auto" w:fill="auto"/>
            <w:vAlign w:val="center"/>
          </w:tcPr>
          <w:p w:rsidR="008379CA" w:rsidRPr="00D72B92" w:rsidRDefault="001220EA" w:rsidP="008C5696">
            <w:pPr>
              <w:rPr>
                <w:szCs w:val="24"/>
              </w:rPr>
            </w:pPr>
            <w:r>
              <w:rPr>
                <w:rFonts w:ascii="TimesNewRomanPSMT" w:eastAsia="Times" w:hAnsi="TimesNewRomanPSMT" w:cs="TimesNewRomanPSMT"/>
                <w:szCs w:val="24"/>
                <w:lang w:eastAsia="en-GB"/>
              </w:rPr>
              <w:t>Integration of the diagnostic at the L3 levels</w:t>
            </w:r>
          </w:p>
        </w:tc>
        <w:tc>
          <w:tcPr>
            <w:tcW w:w="2183" w:type="dxa"/>
            <w:shd w:val="clear" w:color="auto" w:fill="auto"/>
            <w:vAlign w:val="center"/>
          </w:tcPr>
          <w:p w:rsidR="008379CA" w:rsidRPr="00E710A5" w:rsidRDefault="008114BE" w:rsidP="00D72B92">
            <w:pPr>
              <w:keepNext/>
              <w:jc w:val="center"/>
              <w:rPr>
                <w:szCs w:val="24"/>
              </w:rPr>
            </w:pPr>
            <w:r>
              <w:rPr>
                <w:szCs w:val="24"/>
              </w:rPr>
              <w:t>T0+ 6</w:t>
            </w:r>
            <w:r w:rsidR="00F160C2">
              <w:rPr>
                <w:szCs w:val="24"/>
              </w:rPr>
              <w:t xml:space="preserve"> months</w:t>
            </w:r>
          </w:p>
        </w:tc>
        <w:tc>
          <w:tcPr>
            <w:tcW w:w="1980" w:type="dxa"/>
            <w:shd w:val="clear" w:color="auto" w:fill="auto"/>
            <w:vAlign w:val="center"/>
          </w:tcPr>
          <w:p w:rsidR="008379CA" w:rsidRPr="00E710A5" w:rsidRDefault="008379CA" w:rsidP="00E52A4D">
            <w:pPr>
              <w:jc w:val="right"/>
              <w:rPr>
                <w:i/>
                <w:szCs w:val="24"/>
                <w:highlight w:val="yellow"/>
              </w:rPr>
            </w:pPr>
            <w:r w:rsidRPr="00E710A5">
              <w:rPr>
                <w:i/>
                <w:szCs w:val="24"/>
                <w:highlight w:val="yellow"/>
              </w:rPr>
              <w:t>to be added</w:t>
            </w:r>
          </w:p>
        </w:tc>
      </w:tr>
      <w:tr w:rsidR="008114BE" w:rsidRPr="00E710A5" w:rsidTr="00C508AD">
        <w:trPr>
          <w:trHeight w:val="1160"/>
        </w:trPr>
        <w:tc>
          <w:tcPr>
            <w:tcW w:w="993" w:type="dxa"/>
            <w:shd w:val="clear" w:color="auto" w:fill="auto"/>
            <w:vAlign w:val="center"/>
          </w:tcPr>
          <w:p w:rsidR="008114BE" w:rsidRPr="00E710A5" w:rsidRDefault="008114BE" w:rsidP="008114BE">
            <w:pPr>
              <w:jc w:val="center"/>
              <w:rPr>
                <w:szCs w:val="24"/>
              </w:rPr>
            </w:pPr>
            <w:r>
              <w:rPr>
                <w:szCs w:val="24"/>
              </w:rPr>
              <w:t xml:space="preserve">D3 </w:t>
            </w:r>
          </w:p>
        </w:tc>
        <w:tc>
          <w:tcPr>
            <w:tcW w:w="3934" w:type="dxa"/>
            <w:shd w:val="clear" w:color="auto" w:fill="auto"/>
            <w:vAlign w:val="center"/>
          </w:tcPr>
          <w:p w:rsidR="008114BE" w:rsidRPr="00D72B92" w:rsidRDefault="008114BE" w:rsidP="008114BE">
            <w:pPr>
              <w:rPr>
                <w:szCs w:val="24"/>
              </w:rPr>
            </w:pPr>
            <w:r>
              <w:rPr>
                <w:rFonts w:ascii="TimesNewRomanPSMT" w:eastAsia="Times" w:hAnsi="TimesNewRomanPSMT" w:cs="TimesNewRomanPSMT"/>
                <w:szCs w:val="24"/>
                <w:lang w:eastAsia="en-GB"/>
              </w:rPr>
              <w:t>Installation of the diagnostic at the B1 and L1 level.</w:t>
            </w:r>
          </w:p>
        </w:tc>
        <w:tc>
          <w:tcPr>
            <w:tcW w:w="2183" w:type="dxa"/>
            <w:shd w:val="clear" w:color="auto" w:fill="auto"/>
            <w:vAlign w:val="center"/>
          </w:tcPr>
          <w:p w:rsidR="008114BE" w:rsidRPr="00E710A5" w:rsidRDefault="008114BE" w:rsidP="008114BE">
            <w:pPr>
              <w:keepNext/>
              <w:jc w:val="center"/>
              <w:rPr>
                <w:szCs w:val="24"/>
              </w:rPr>
            </w:pPr>
            <w:r>
              <w:rPr>
                <w:szCs w:val="24"/>
              </w:rPr>
              <w:t>T0+ 9 months</w:t>
            </w:r>
          </w:p>
        </w:tc>
        <w:tc>
          <w:tcPr>
            <w:tcW w:w="1980" w:type="dxa"/>
            <w:shd w:val="clear" w:color="auto" w:fill="auto"/>
            <w:vAlign w:val="center"/>
          </w:tcPr>
          <w:p w:rsidR="008114BE" w:rsidRPr="00E710A5" w:rsidRDefault="008114BE" w:rsidP="008114BE">
            <w:pPr>
              <w:jc w:val="right"/>
              <w:rPr>
                <w:i/>
                <w:szCs w:val="24"/>
                <w:highlight w:val="yellow"/>
              </w:rPr>
            </w:pPr>
            <w:r w:rsidRPr="00E710A5">
              <w:rPr>
                <w:i/>
                <w:szCs w:val="24"/>
                <w:highlight w:val="yellow"/>
              </w:rPr>
              <w:t>to be added</w:t>
            </w:r>
          </w:p>
        </w:tc>
      </w:tr>
      <w:tr w:rsidR="008114BE" w:rsidRPr="00E710A5" w:rsidTr="00C508AD">
        <w:trPr>
          <w:trHeight w:val="1160"/>
        </w:trPr>
        <w:tc>
          <w:tcPr>
            <w:tcW w:w="993" w:type="dxa"/>
            <w:shd w:val="clear" w:color="auto" w:fill="auto"/>
            <w:vAlign w:val="center"/>
          </w:tcPr>
          <w:p w:rsidR="008114BE" w:rsidRDefault="008114BE" w:rsidP="008114BE">
            <w:pPr>
              <w:jc w:val="center"/>
              <w:rPr>
                <w:szCs w:val="24"/>
              </w:rPr>
            </w:pPr>
            <w:r>
              <w:rPr>
                <w:szCs w:val="24"/>
              </w:rPr>
              <w:t>D4</w:t>
            </w:r>
          </w:p>
        </w:tc>
        <w:tc>
          <w:tcPr>
            <w:tcW w:w="3934" w:type="dxa"/>
            <w:shd w:val="clear" w:color="auto" w:fill="auto"/>
            <w:vAlign w:val="center"/>
          </w:tcPr>
          <w:p w:rsidR="008114BE" w:rsidRPr="00D72B92" w:rsidRDefault="008114BE" w:rsidP="008114BE">
            <w:pPr>
              <w:rPr>
                <w:rFonts w:ascii="TimesNewRomanPS-BoldMT" w:eastAsia="Times" w:hAnsi="TimesNewRomanPS-BoldMT" w:cs="TimesNewRomanPS-BoldMT"/>
                <w:bCs/>
                <w:szCs w:val="24"/>
                <w:lang w:eastAsia="en-GB"/>
              </w:rPr>
            </w:pPr>
            <w:r>
              <w:rPr>
                <w:rFonts w:ascii="TimesNewRomanPSMT" w:eastAsia="Times" w:hAnsi="TimesNewRomanPSMT" w:cs="TimesNewRomanPSMT"/>
                <w:szCs w:val="24"/>
                <w:lang w:eastAsia="en-GB"/>
              </w:rPr>
              <w:t>Installation of the diagnostic cubicle</w:t>
            </w:r>
          </w:p>
        </w:tc>
        <w:tc>
          <w:tcPr>
            <w:tcW w:w="2183" w:type="dxa"/>
            <w:shd w:val="clear" w:color="auto" w:fill="auto"/>
            <w:vAlign w:val="center"/>
          </w:tcPr>
          <w:p w:rsidR="008114BE" w:rsidRDefault="008114BE" w:rsidP="008114BE">
            <w:pPr>
              <w:keepNext/>
              <w:jc w:val="center"/>
              <w:rPr>
                <w:szCs w:val="24"/>
              </w:rPr>
            </w:pPr>
            <w:r>
              <w:rPr>
                <w:szCs w:val="24"/>
              </w:rPr>
              <w:t>T0+ 12 months</w:t>
            </w:r>
          </w:p>
        </w:tc>
        <w:tc>
          <w:tcPr>
            <w:tcW w:w="1980" w:type="dxa"/>
            <w:shd w:val="clear" w:color="auto" w:fill="auto"/>
            <w:vAlign w:val="center"/>
          </w:tcPr>
          <w:p w:rsidR="008114BE" w:rsidRPr="00E710A5" w:rsidRDefault="008114BE" w:rsidP="008114BE">
            <w:pPr>
              <w:jc w:val="right"/>
              <w:rPr>
                <w:i/>
                <w:szCs w:val="24"/>
                <w:highlight w:val="yellow"/>
              </w:rPr>
            </w:pPr>
            <w:r w:rsidRPr="00E710A5">
              <w:rPr>
                <w:i/>
                <w:szCs w:val="24"/>
                <w:highlight w:val="yellow"/>
              </w:rPr>
              <w:t>to be added</w:t>
            </w:r>
          </w:p>
        </w:tc>
      </w:tr>
      <w:tr w:rsidR="008114BE" w:rsidRPr="00E710A5" w:rsidTr="00084DCB">
        <w:trPr>
          <w:trHeight w:val="1070"/>
        </w:trPr>
        <w:tc>
          <w:tcPr>
            <w:tcW w:w="7110" w:type="dxa"/>
            <w:gridSpan w:val="3"/>
            <w:shd w:val="clear" w:color="auto" w:fill="auto"/>
            <w:vAlign w:val="center"/>
          </w:tcPr>
          <w:p w:rsidR="008114BE" w:rsidRPr="00084DCB" w:rsidRDefault="008114BE" w:rsidP="008114BE">
            <w:pPr>
              <w:jc w:val="right"/>
              <w:rPr>
                <w:b/>
                <w:i/>
                <w:szCs w:val="24"/>
              </w:rPr>
            </w:pPr>
            <w:r w:rsidRPr="00084DCB">
              <w:rPr>
                <w:b/>
                <w:i/>
                <w:szCs w:val="24"/>
              </w:rPr>
              <w:t>Total</w:t>
            </w:r>
          </w:p>
        </w:tc>
        <w:tc>
          <w:tcPr>
            <w:tcW w:w="1980" w:type="dxa"/>
            <w:shd w:val="clear" w:color="auto" w:fill="auto"/>
            <w:vAlign w:val="center"/>
          </w:tcPr>
          <w:p w:rsidR="008114BE" w:rsidRPr="00084DCB" w:rsidRDefault="008114BE" w:rsidP="008114BE">
            <w:pPr>
              <w:jc w:val="right"/>
              <w:rPr>
                <w:b/>
                <w:i/>
                <w:szCs w:val="24"/>
              </w:rPr>
            </w:pPr>
            <w:r w:rsidRPr="003814F9">
              <w:rPr>
                <w:b/>
                <w:i/>
                <w:szCs w:val="24"/>
                <w:highlight w:val="yellow"/>
              </w:rPr>
              <w:t>to be added</w:t>
            </w:r>
            <w:bookmarkStart w:id="0" w:name="_GoBack"/>
            <w:bookmarkEnd w:id="0"/>
          </w:p>
        </w:tc>
      </w:tr>
    </w:tbl>
    <w:p w:rsidR="008379CA" w:rsidRPr="00E710A5" w:rsidRDefault="007335DE" w:rsidP="008A794C">
      <w:pPr>
        <w:keepNext/>
        <w:rPr>
          <w:i/>
          <w:szCs w:val="24"/>
        </w:rPr>
      </w:pPr>
      <w:r w:rsidRPr="00F160C2">
        <w:rPr>
          <w:i/>
          <w:szCs w:val="24"/>
        </w:rPr>
        <w:t xml:space="preserve"> </w:t>
      </w:r>
    </w:p>
    <w:p w:rsidR="00084DCB" w:rsidRDefault="00D72B92" w:rsidP="00D72B92">
      <w:pPr>
        <w:jc w:val="left"/>
        <w:rPr>
          <w:szCs w:val="24"/>
        </w:rPr>
      </w:pPr>
      <w:r>
        <w:rPr>
          <w:szCs w:val="24"/>
        </w:rPr>
        <w:br w:type="page"/>
      </w:r>
    </w:p>
    <w:p w:rsidR="00D72B92" w:rsidRDefault="00D72B92" w:rsidP="00D72B92">
      <w:pPr>
        <w:jc w:val="left"/>
        <w:rPr>
          <w:szCs w:val="24"/>
        </w:rPr>
      </w:pPr>
    </w:p>
    <w:p w:rsidR="00084DCB" w:rsidRDefault="00084DCB"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084DCB" w:rsidRPr="00E710A5" w:rsidTr="00084DCB">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970"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2C4918" w:rsidRPr="002C4918" w:rsidTr="002C4918">
        <w:trPr>
          <w:trHeight w:val="563"/>
        </w:trPr>
        <w:tc>
          <w:tcPr>
            <w:tcW w:w="993" w:type="dxa"/>
            <w:shd w:val="clear" w:color="auto" w:fill="auto"/>
            <w:vAlign w:val="center"/>
          </w:tcPr>
          <w:p w:rsidR="002C4918" w:rsidRPr="008114BE" w:rsidRDefault="002C4918" w:rsidP="002C4918">
            <w:pPr>
              <w:jc w:val="center"/>
              <w:rPr>
                <w:szCs w:val="24"/>
              </w:rPr>
            </w:pPr>
            <w:r w:rsidRPr="008114BE">
              <w:rPr>
                <w:szCs w:val="24"/>
              </w:rPr>
              <w:t>M1</w:t>
            </w:r>
          </w:p>
        </w:tc>
        <w:tc>
          <w:tcPr>
            <w:tcW w:w="3147" w:type="dxa"/>
            <w:shd w:val="clear" w:color="auto" w:fill="auto"/>
            <w:vAlign w:val="center"/>
          </w:tcPr>
          <w:p w:rsidR="002C4918" w:rsidRPr="00E710A5" w:rsidRDefault="002C4918" w:rsidP="002C4918">
            <w:pPr>
              <w:rPr>
                <w:i/>
                <w:szCs w:val="24"/>
              </w:rPr>
            </w:pPr>
            <w:r w:rsidRPr="002C4918">
              <w:rPr>
                <w:szCs w:val="24"/>
              </w:rPr>
              <w:t xml:space="preserve">Successful completion </w:t>
            </w:r>
            <w:r w:rsidRPr="008114BE">
              <w:rPr>
                <w:szCs w:val="24"/>
              </w:rPr>
              <w:t>of D1</w:t>
            </w:r>
            <w:r w:rsidR="008114BE" w:rsidRPr="008114BE">
              <w:rPr>
                <w:szCs w:val="24"/>
              </w:rPr>
              <w:t xml:space="preserve"> and D2</w:t>
            </w:r>
          </w:p>
        </w:tc>
        <w:tc>
          <w:tcPr>
            <w:tcW w:w="2970" w:type="dxa"/>
            <w:shd w:val="clear" w:color="auto" w:fill="auto"/>
            <w:vAlign w:val="center"/>
          </w:tcPr>
          <w:p w:rsidR="002C4918" w:rsidRPr="003D75A2" w:rsidRDefault="002C4918" w:rsidP="008114BE">
            <w:pPr>
              <w:keepNext/>
              <w:jc w:val="center"/>
              <w:rPr>
                <w:szCs w:val="24"/>
              </w:rPr>
            </w:pPr>
            <w:r w:rsidRPr="003D75A2">
              <w:rPr>
                <w:szCs w:val="24"/>
              </w:rPr>
              <w:t xml:space="preserve">TO+ </w:t>
            </w:r>
            <w:r w:rsidR="008114BE">
              <w:rPr>
                <w:szCs w:val="24"/>
              </w:rPr>
              <w:t xml:space="preserve">7 </w:t>
            </w:r>
            <w:r w:rsidRPr="003D75A2">
              <w:rPr>
                <w:szCs w:val="24"/>
              </w:rPr>
              <w:t>months</w:t>
            </w:r>
          </w:p>
        </w:tc>
        <w:tc>
          <w:tcPr>
            <w:tcW w:w="1980" w:type="dxa"/>
            <w:shd w:val="clear" w:color="auto" w:fill="auto"/>
            <w:vAlign w:val="center"/>
          </w:tcPr>
          <w:p w:rsidR="002C4918" w:rsidRPr="003D75A2" w:rsidRDefault="002C4918" w:rsidP="002C4918">
            <w:pPr>
              <w:jc w:val="right"/>
              <w:rPr>
                <w:i/>
                <w:szCs w:val="24"/>
                <w:highlight w:val="yellow"/>
              </w:rPr>
            </w:pPr>
            <w:r w:rsidRPr="003D75A2">
              <w:rPr>
                <w:i/>
                <w:szCs w:val="24"/>
                <w:highlight w:val="yellow"/>
              </w:rPr>
              <w:t>to be added</w:t>
            </w:r>
          </w:p>
        </w:tc>
      </w:tr>
      <w:tr w:rsidR="002C4918" w:rsidRPr="002C4918" w:rsidTr="00084DCB">
        <w:trPr>
          <w:trHeight w:val="683"/>
        </w:trPr>
        <w:tc>
          <w:tcPr>
            <w:tcW w:w="993" w:type="dxa"/>
            <w:shd w:val="clear" w:color="auto" w:fill="auto"/>
            <w:vAlign w:val="center"/>
          </w:tcPr>
          <w:p w:rsidR="002C4918" w:rsidRPr="008114BE" w:rsidRDefault="002C4918" w:rsidP="002C4918">
            <w:pPr>
              <w:jc w:val="center"/>
              <w:rPr>
                <w:szCs w:val="24"/>
              </w:rPr>
            </w:pPr>
            <w:r w:rsidRPr="008114BE">
              <w:rPr>
                <w:szCs w:val="24"/>
              </w:rPr>
              <w:t>M2</w:t>
            </w:r>
          </w:p>
        </w:tc>
        <w:tc>
          <w:tcPr>
            <w:tcW w:w="3147" w:type="dxa"/>
            <w:shd w:val="clear" w:color="auto" w:fill="auto"/>
            <w:vAlign w:val="center"/>
          </w:tcPr>
          <w:p w:rsidR="002C4918" w:rsidRPr="00E710A5" w:rsidRDefault="002C4918" w:rsidP="002C4918">
            <w:pPr>
              <w:rPr>
                <w:i/>
                <w:szCs w:val="24"/>
              </w:rPr>
            </w:pPr>
            <w:r w:rsidRPr="002C4918">
              <w:rPr>
                <w:szCs w:val="24"/>
              </w:rPr>
              <w:t xml:space="preserve">Successful completion of </w:t>
            </w:r>
            <w:r w:rsidR="008114BE">
              <w:rPr>
                <w:szCs w:val="24"/>
              </w:rPr>
              <w:t>D3 and D4</w:t>
            </w:r>
          </w:p>
        </w:tc>
        <w:tc>
          <w:tcPr>
            <w:tcW w:w="2970" w:type="dxa"/>
            <w:shd w:val="clear" w:color="auto" w:fill="auto"/>
            <w:vAlign w:val="center"/>
          </w:tcPr>
          <w:p w:rsidR="002C4918" w:rsidRPr="00E710A5" w:rsidRDefault="003D75A2" w:rsidP="002C4918">
            <w:pPr>
              <w:keepNext/>
              <w:jc w:val="center"/>
              <w:rPr>
                <w:szCs w:val="24"/>
              </w:rPr>
            </w:pPr>
            <w:r>
              <w:rPr>
                <w:szCs w:val="24"/>
              </w:rPr>
              <w:t>TO+ 13 months</w:t>
            </w:r>
          </w:p>
        </w:tc>
        <w:tc>
          <w:tcPr>
            <w:tcW w:w="1980" w:type="dxa"/>
            <w:shd w:val="clear" w:color="auto" w:fill="auto"/>
            <w:vAlign w:val="center"/>
          </w:tcPr>
          <w:p w:rsidR="002C4918" w:rsidRPr="003D75A2" w:rsidRDefault="002C4918" w:rsidP="002C4918">
            <w:pPr>
              <w:jc w:val="right"/>
              <w:rPr>
                <w:i/>
                <w:szCs w:val="24"/>
                <w:highlight w:val="yellow"/>
              </w:rPr>
            </w:pPr>
            <w:r w:rsidRPr="003D75A2">
              <w:rPr>
                <w:i/>
                <w:szCs w:val="24"/>
                <w:highlight w:val="yellow"/>
              </w:rPr>
              <w:t>to be added</w:t>
            </w:r>
          </w:p>
        </w:tc>
      </w:tr>
      <w:tr w:rsidR="002C4918" w:rsidRPr="002C4918" w:rsidTr="00084DCB">
        <w:trPr>
          <w:trHeight w:val="38"/>
        </w:trPr>
        <w:tc>
          <w:tcPr>
            <w:tcW w:w="7110" w:type="dxa"/>
            <w:gridSpan w:val="3"/>
            <w:shd w:val="clear" w:color="auto" w:fill="auto"/>
            <w:vAlign w:val="center"/>
          </w:tcPr>
          <w:p w:rsidR="002C4918" w:rsidRPr="002C4918" w:rsidRDefault="002C4918" w:rsidP="002C4918">
            <w:pPr>
              <w:jc w:val="right"/>
              <w:rPr>
                <w:b/>
                <w:i/>
                <w:szCs w:val="24"/>
              </w:rPr>
            </w:pPr>
            <w:r w:rsidRPr="002C4918">
              <w:rPr>
                <w:b/>
                <w:i/>
                <w:szCs w:val="24"/>
              </w:rPr>
              <w:t>Total</w:t>
            </w:r>
          </w:p>
        </w:tc>
        <w:tc>
          <w:tcPr>
            <w:tcW w:w="1980" w:type="dxa"/>
            <w:shd w:val="clear" w:color="auto" w:fill="auto"/>
            <w:vAlign w:val="center"/>
          </w:tcPr>
          <w:p w:rsidR="002C4918" w:rsidRPr="002C4918" w:rsidRDefault="002C4918" w:rsidP="002C4918">
            <w:pPr>
              <w:jc w:val="right"/>
              <w:rPr>
                <w:b/>
                <w:i/>
                <w:szCs w:val="24"/>
              </w:rPr>
            </w:pPr>
            <w:r w:rsidRPr="002C4918">
              <w:rPr>
                <w:b/>
                <w:i/>
                <w:szCs w:val="24"/>
              </w:rPr>
              <w:t>to be added</w:t>
            </w:r>
          </w:p>
        </w:tc>
      </w:tr>
    </w:tbl>
    <w:p w:rsidR="00084DCB" w:rsidRDefault="00084DCB" w:rsidP="006626C5">
      <w:pPr>
        <w:keepNext/>
        <w:rPr>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Pr>
          <w:p w:rsidR="00460252" w:rsidRPr="00E710A5" w:rsidRDefault="00460252" w:rsidP="00216317">
            <w:pPr>
              <w:keepNext/>
              <w:jc w:val="center"/>
              <w:rPr>
                <w:szCs w:val="24"/>
              </w:rPr>
            </w:pPr>
          </w:p>
        </w:tc>
        <w:tc>
          <w:tcPr>
            <w:tcW w:w="3018" w:type="dxa"/>
            <w:vMerge w:val="restart"/>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3814F9">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3814F9">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814F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814F9">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8114BE" w:rsidP="00D00FAC">
    <w:pPr>
      <w:keepNext/>
      <w:ind w:right="12"/>
      <w:jc w:val="right"/>
      <w:rPr>
        <w:b/>
        <w:sz w:val="44"/>
        <w:szCs w:val="44"/>
      </w:rPr>
    </w:pPr>
    <w:r>
      <w:rPr>
        <w:sz w:val="22"/>
        <w:szCs w:val="22"/>
      </w:rPr>
      <w:t>IO/20/CFE/10019222</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0EA"/>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4918"/>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814F9"/>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5A2"/>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5DA"/>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0995"/>
    <w:rsid w:val="0080148C"/>
    <w:rsid w:val="00804897"/>
    <w:rsid w:val="0080564C"/>
    <w:rsid w:val="00811166"/>
    <w:rsid w:val="008114BE"/>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08AD"/>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2B92"/>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5A8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555A"/>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E341F-DAE3-4248-8178-95BDA6584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TotalTime>
  <Pages>2</Pages>
  <Words>249</Words>
  <Characters>1278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5</cp:revision>
  <cp:lastPrinted>2020-03-12T10:00:00Z</cp:lastPrinted>
  <dcterms:created xsi:type="dcterms:W3CDTF">2020-06-02T14:42:00Z</dcterms:created>
  <dcterms:modified xsi:type="dcterms:W3CDTF">2020-06-03T07:52:00Z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